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 w:line="340" w:lineRule="exact"/>
        <w:rPr>
          <w:rFonts w:hint="eastAsia" w:ascii="微软雅黑" w:hAnsi="微软雅黑" w:eastAsia="微软雅黑" w:cs="微软雅黑"/>
        </w:rPr>
      </w:pPr>
      <w:bookmarkStart w:id="1" w:name="_GoBack"/>
      <w:bookmarkEnd w:id="1"/>
    </w:p>
    <w:tbl>
      <w:tblPr>
        <w:tblStyle w:val="7"/>
        <w:tblW w:w="8813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甲方企业介绍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：1993年，顺丰诞生于广东顺德。顺丰是国内领先的快递物流综合服务商。经过多年发展，已初步建立为客户提供一体化综合物流解决方案的能力，为客户提供仓储管理、销售预测、大数据分析、金融管理等一揽子解决方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顺丰同时还是一家具有网络规模优势的智能物流运营商。经过多年潜心经营和前瞻性战略布局，顺丰已形成拥有“天网+地网+信息网”三网合一、可覆盖国内外的综合物流服务网络。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顺丰采用直营的经营模式，由总部对各分支机构实施统一经营、统一管理，保障了网络整体运营质量。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招聘岗位：</w:t>
      </w:r>
    </w:p>
    <w:tbl>
      <w:tblPr>
        <w:tblStyle w:val="7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9"/>
        <w:gridCol w:w="240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</w:rPr>
              <w:t>岗位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val="en-US" w:eastAsia="zh-CN"/>
              </w:rPr>
              <w:t>顺丰速运语音客服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薪资：3000-5000元/月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8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岗位职责：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负责接听顺丰快递客户来电下单、快件查询、业务咨询等（纯接听，无销售性质）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8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任职资格：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男女不限，年龄18周岁-35周岁，中专/大专以上学历，接受实习生；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2、普通话标准，音色佳，理解能力强；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3、打字速度不低于30字/分钟；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4、会基本电脑操作；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5、具有良好的职业素养，组织纪律性强，有上进心。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  <w:jc w:val="center"/>
        </w:trPr>
        <w:tc>
          <w:tcPr>
            <w:tcW w:w="8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薪资：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bookmarkStart w:id="0" w:name="_Toc347410506"/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月薪资=基本薪资+培训期补贴+全勤奖+住房补贴+餐补+司龄奖+绩效</w:t>
            </w:r>
            <w:bookmarkEnd w:id="0"/>
          </w:p>
          <w:p>
            <w:pPr>
              <w:numPr>
                <w:ilvl w:val="0"/>
                <w:numId w:val="2"/>
              </w:numPr>
              <w:spacing w:line="360" w:lineRule="auto"/>
              <w:ind w:right="371" w:rightChars="177"/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  <w:t>基本薪资：</w:t>
            </w: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  <w:t>00，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如当月缺勤，则基本工资=实际出勤/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当月工作日数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*2000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right="371" w:rightChars="177"/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2"/>
                <w:sz w:val="22"/>
                <w:szCs w:val="24"/>
                <w:highlight w:val="none"/>
                <w:lang w:eastAsia="zh-CN"/>
              </w:rPr>
              <w:t>培训期补贴：标准为50元/日，</w:t>
            </w:r>
            <w:r>
              <w:rPr>
                <w:rFonts w:hint="eastAsia" w:ascii="微软雅黑" w:hAnsi="微软雅黑" w:eastAsia="微软雅黑" w:cs="仿宋_GB2312"/>
                <w:color w:val="000000"/>
                <w:kern w:val="2"/>
                <w:sz w:val="22"/>
                <w:szCs w:val="24"/>
                <w:highlight w:val="none"/>
                <w:lang w:val="en-US" w:eastAsia="zh-CN"/>
              </w:rPr>
              <w:t>培训期12天，</w:t>
            </w:r>
            <w:r>
              <w:rPr>
                <w:rFonts w:hint="eastAsia" w:ascii="微软雅黑" w:hAnsi="微软雅黑" w:eastAsia="微软雅黑" w:cs="仿宋_GB2312"/>
                <w:color w:val="000000"/>
                <w:kern w:val="2"/>
                <w:sz w:val="22"/>
                <w:szCs w:val="24"/>
                <w:highlight w:val="none"/>
                <w:lang w:eastAsia="zh-CN"/>
              </w:rPr>
              <w:t>培训期补贴与进入业务团队当月薪资一起发放；</w:t>
            </w:r>
          </w:p>
          <w:p>
            <w:pPr>
              <w:spacing w:line="360" w:lineRule="auto"/>
              <w:ind w:right="371" w:rightChars="177"/>
              <w:rPr>
                <w:rFonts w:hint="eastAsia" w:ascii="微软雅黑" w:hAnsi="微软雅黑" w:eastAsia="微软雅黑" w:cs="微软雅黑"/>
                <w:color w:val="000000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highlight w:val="none"/>
                <w:lang w:eastAsia="zh-CN"/>
              </w:rPr>
              <w:t>全勤</w:t>
            </w:r>
            <w:r>
              <w:rPr>
                <w:rFonts w:hint="eastAsia" w:ascii="微软雅黑" w:hAnsi="微软雅黑" w:eastAsia="微软雅黑" w:cs="微软雅黑"/>
                <w:color w:val="000000"/>
                <w:highlight w:val="none"/>
                <w:lang w:val="en-US" w:eastAsia="zh-CN"/>
              </w:rPr>
              <w:t>奖</w:t>
            </w:r>
            <w:r>
              <w:rPr>
                <w:rFonts w:hint="eastAsia" w:ascii="微软雅黑" w:hAnsi="微软雅黑" w:eastAsia="微软雅黑" w:cs="微软雅黑"/>
                <w:color w:val="000000"/>
                <w:highlight w:val="none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highlight w:val="none"/>
                <w:lang w:val="en-US" w:eastAsia="zh-CN"/>
              </w:rPr>
              <w:t>标准为100</w:t>
            </w:r>
            <w:r>
              <w:rPr>
                <w:rFonts w:hint="eastAsia" w:ascii="微软雅黑" w:hAnsi="微软雅黑" w:eastAsia="微软雅黑" w:cs="微软雅黑"/>
                <w:color w:val="000000"/>
                <w:highlight w:val="none"/>
                <w:lang w:eastAsia="zh-CN"/>
              </w:rPr>
              <w:t>元</w:t>
            </w:r>
            <w:r>
              <w:rPr>
                <w:rFonts w:hint="eastAsia" w:ascii="微软雅黑" w:hAnsi="微软雅黑" w:eastAsia="微软雅黑" w:cs="微软雅黑"/>
                <w:color w:val="000000"/>
                <w:highlight w:val="none"/>
                <w:lang w:val="en-US" w:eastAsia="zh-CN"/>
              </w:rPr>
              <w:t>/月，</w:t>
            </w:r>
            <w:r>
              <w:rPr>
                <w:rFonts w:hint="eastAsia" w:ascii="微软雅黑" w:hAnsi="微软雅黑" w:eastAsia="微软雅黑" w:cs="微软雅黑"/>
                <w:color w:val="000000"/>
                <w:highlight w:val="none"/>
                <w:lang w:eastAsia="zh-CN"/>
              </w:rPr>
              <w:t>当月按排班</w:t>
            </w:r>
            <w:r>
              <w:rPr>
                <w:rFonts w:hint="eastAsia" w:ascii="微软雅黑" w:hAnsi="微软雅黑" w:eastAsia="微软雅黑" w:cs="微软雅黑"/>
                <w:color w:val="000000"/>
                <w:highlight w:val="none"/>
                <w:lang w:val="en-US" w:eastAsia="zh-CN"/>
              </w:rPr>
              <w:t>出勤，且</w:t>
            </w:r>
            <w:r>
              <w:rPr>
                <w:rFonts w:hint="eastAsia" w:ascii="微软雅黑" w:hAnsi="微软雅黑" w:eastAsia="微软雅黑" w:cs="微软雅黑"/>
                <w:color w:val="000000"/>
                <w:highlight w:val="none"/>
                <w:lang w:eastAsia="zh-CN"/>
              </w:rPr>
              <w:t>出勤率为100%</w:t>
            </w:r>
            <w:r>
              <w:rPr>
                <w:rFonts w:hint="eastAsia" w:ascii="微软雅黑" w:hAnsi="微软雅黑" w:eastAsia="微软雅黑" w:cs="微软雅黑"/>
                <w:color w:val="000000"/>
                <w:highlight w:val="none"/>
                <w:lang w:val="en-US" w:eastAsia="zh-CN"/>
              </w:rPr>
              <w:t>方可享受，新员工入职当月可以享受新员工出勤补助，标准及计算办法同全勤奖（培训期的出勤不享受新员工出勤补助）</w:t>
            </w:r>
            <w:r>
              <w:rPr>
                <w:rFonts w:hint="eastAsia" w:ascii="微软雅黑" w:hAnsi="微软雅黑" w:eastAsia="微软雅黑" w:cs="微软雅黑"/>
                <w:color w:val="000000"/>
                <w:highlight w:val="none"/>
                <w:lang w:eastAsia="zh-CN"/>
              </w:rPr>
              <w:t>；</w:t>
            </w:r>
          </w:p>
          <w:p>
            <w:pPr>
              <w:spacing w:line="360" w:lineRule="auto"/>
              <w:ind w:right="371" w:rightChars="177"/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  <w:t>、住房补贴：员工住宿免费。若不需要公司安排住宿则补贴</w:t>
            </w: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200</w:t>
            </w:r>
            <w:r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  <w:t>元每月。</w:t>
            </w:r>
          </w:p>
          <w:p>
            <w:pPr>
              <w:spacing w:line="360" w:lineRule="auto"/>
              <w:ind w:right="371" w:rightChars="177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餐补：在规定工作日为有效出勤且实际在岗的员工提供用餐补贴 10 元/天/人（封顶240元），员工培训期结束后即可享受公司餐补政策。</w:t>
            </w:r>
          </w:p>
          <w:p>
            <w:pPr>
              <w:spacing w:line="360" w:lineRule="auto"/>
              <w:ind w:right="371" w:rightChars="177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kern w:val="2"/>
                <w:szCs w:val="28"/>
                <w:highlight w:val="none"/>
                <w:lang w:val="en-US" w:eastAsia="zh-CN"/>
              </w:rPr>
              <w:t>6、</w:t>
            </w:r>
            <w:r>
              <w:rPr>
                <w:rFonts w:hint="eastAsia" w:ascii="微软雅黑" w:hAnsi="微软雅黑" w:eastAsia="微软雅黑" w:cs="微软雅黑"/>
                <w:color w:val="000000"/>
                <w:szCs w:val="28"/>
                <w:highlight w:val="none"/>
                <w:lang w:val="en-US" w:eastAsia="zh-CN"/>
              </w:rPr>
              <w:t>司龄奖：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highlight w:val="none"/>
                <w:lang w:val="en-US" w:eastAsia="zh-CN"/>
              </w:rPr>
              <w:t>职满3个月以上，从第4月享有300元/月司龄奖；入职满1年以上，从第13个月享有400元/月司龄奖；司龄奖</w:t>
            </w:r>
            <w:r>
              <w:rPr>
                <w:rFonts w:hint="eastAsia" w:ascii="微软雅黑" w:hAnsi="微软雅黑" w:eastAsia="微软雅黑" w:cs="微软雅黑"/>
                <w:color w:val="000000"/>
                <w:highlight w:val="none"/>
                <w:lang w:val="en-US" w:eastAsia="zh-CN"/>
              </w:rPr>
              <w:t>按照实际出勤率折算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highlight w:val="none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7、每单提成绩效按下表计算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</w:p>
          <w:tbl>
            <w:tblPr>
              <w:tblStyle w:val="7"/>
              <w:tblW w:w="100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8"/>
              <w:gridCol w:w="55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4508" w:type="dxa"/>
                  <w:shd w:val="clear" w:color="auto" w:fill="A8D08D"/>
                  <w:noWrap w:val="0"/>
                  <w:vAlign w:val="center"/>
                </w:tcPr>
                <w:p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日均电话量</w:t>
                  </w:r>
                </w:p>
              </w:tc>
              <w:tc>
                <w:tcPr>
                  <w:tcW w:w="5572" w:type="dxa"/>
                  <w:shd w:val="clear" w:color="auto" w:fill="A8D08D"/>
                  <w:noWrap w:val="0"/>
                  <w:vAlign w:val="center"/>
                </w:tcPr>
                <w:p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单价/条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450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&lt;130</w:t>
                  </w:r>
                </w:p>
              </w:tc>
              <w:tc>
                <w:tcPr>
                  <w:tcW w:w="55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450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en-US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[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13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eastAsia="zh-CN"/>
                    </w:rPr>
                    <w:t>，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150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55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等线" w:hAnsi="等线" w:eastAsia="等线" w:cs="宋体"/>
                      <w:color w:val="000000"/>
                      <w:sz w:val="22"/>
                      <w:szCs w:val="22"/>
                      <w:lang w:val="en-US" w:eastAsia="en-US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  <w:t>0.1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450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[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15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eastAsia="zh-CN"/>
                    </w:rPr>
                    <w:t>，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160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55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  <w:t>0.2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450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[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16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eastAsia="zh-CN"/>
                    </w:rPr>
                    <w:t>，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180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55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ascii="等线" w:hAnsi="等线" w:eastAsia="等线" w:cs="宋体"/>
                      <w:color w:val="000000"/>
                      <w:sz w:val="22"/>
                      <w:szCs w:val="22"/>
                    </w:rPr>
                    <w:t>0.2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450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[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18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eastAsia="zh-CN"/>
                    </w:rPr>
                    <w:t>，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200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55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0.3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450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[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eastAsia="zh-CN"/>
                    </w:rPr>
                    <w:t>，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230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55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0.45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450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[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23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eastAsia="zh-CN"/>
                    </w:rPr>
                    <w:t>，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250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55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0.5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450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[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25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eastAsia="zh-CN"/>
                    </w:rPr>
                    <w:t>，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280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55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0.55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450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[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28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eastAsia="zh-CN"/>
                    </w:rPr>
                    <w:t>，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300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55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0.6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450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sz w:val="20"/>
                      <w:szCs w:val="20"/>
                      <w:lang w:eastAsia="zh-CN" w:bidi="ar-SA"/>
                    </w:rPr>
                    <w:t>≥</w:t>
                  </w:r>
                  <w:r>
                    <w:rPr>
                      <w:rFonts w:hint="eastAsia" w:ascii="微软雅黑" w:hAnsi="微软雅黑" w:eastAsia="微软雅黑" w:cs="宋体"/>
                      <w:color w:val="000000"/>
                      <w:sz w:val="20"/>
                      <w:szCs w:val="20"/>
                      <w:lang w:val="en-US" w:eastAsia="zh-CN" w:bidi="ar-SA"/>
                    </w:rPr>
                    <w:t>300</w:t>
                  </w:r>
                </w:p>
              </w:tc>
              <w:tc>
                <w:tcPr>
                  <w:tcW w:w="557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 w:bidi="en-US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2"/>
                      <w:szCs w:val="22"/>
                      <w:lang w:val="en-US" w:eastAsia="zh-CN"/>
                    </w:rPr>
                    <w:t>0.7</w:t>
                  </w:r>
                </w:p>
              </w:tc>
            </w:tr>
          </w:tbl>
          <w:p>
            <w:pPr>
              <w:pStyle w:val="13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工作时间：8:00-22:00之间排班，每个班次8小时，每月休息6天，节假日调休。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福利：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1、纯接听（无任何销售性质，掌握主动权）</w:t>
            </w: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2、纯下单、查单（内容单纯简单）</w:t>
            </w: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3、入职购买商险，转正后购买五险</w:t>
            </w: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4、月休6天，享受国家法定节假日，超长带薪年休假</w:t>
            </w: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5、提供5A高级公寓住宿，高端住宿环境，免费WIFI，空调、热水器、浴霸、1.2米实木床、桌子、衣柜等，住宿费200元/月，押金200元</w:t>
            </w: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6、免费健身房+私教+卡拉OK+咖啡厅+书吧中秋+端午+春节等各种福利</w:t>
            </w: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7、宽广的晋升空间，年底将达2000人规模，需要200+管理和后勤人员</w:t>
            </w: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8、集团公司，自有1万3千平豪华装修职场</w:t>
            </w: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9、自有班车：往返人和空气净化城到北城各区域</w:t>
            </w: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10、学车、升大专和本科的福利四、5A级住宿环境：免费WIFI，空调、热水器、浴霸、1.2米实木床、桌子、衣柜等房租150元/月，水电费自理；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11、完善的晋升机制，所有运营管理岗位均为内部竞聘产生；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12、丰富培训：新员工培训、业务培训、师傅带教、定期分享；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13、中秋+端午+春节等各种福利；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14、集团公司，自有1万3千平豪华装修职场。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hint="eastAsia" w:ascii="微软雅黑" w:hAnsi="微软雅黑" w:eastAsia="微软雅黑" w:cs="微软雅黑"/>
                <w:kern w:val="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2"/>
              </w:rPr>
              <w:t>工作地点：</w:t>
            </w: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</w:rPr>
              <w:t>合肥市双凤经济技术开发区淮南北路与双墩路交汇处人和产业城111栋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hint="eastAsia" w:ascii="微软雅黑" w:hAnsi="微软雅黑" w:eastAsia="微软雅黑" w:cs="微软雅黑"/>
                <w:kern w:val="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</w:rPr>
              <w:t xml:space="preserve">联系方式：人事部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lang w:val="en-US" w:eastAsia="zh-CN"/>
              </w:rPr>
              <w:t>杨经理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lang w:val="en-US" w:eastAsia="zh-CN"/>
              </w:rPr>
              <w:t>18255649169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</w:rPr>
              <w:t xml:space="preserve">  </w:t>
            </w:r>
          </w:p>
        </w:tc>
      </w:tr>
    </w:tbl>
    <w:p>
      <w:pPr>
        <w:spacing w:line="360" w:lineRule="auto"/>
        <w:ind w:right="420"/>
        <w:jc w:val="left"/>
        <w:rPr>
          <w:sz w:val="28"/>
          <w:szCs w:val="28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宋体" w:hAnsi="宋体"/>
        <w:lang w:val="en-US" w:eastAsia="zh-CN"/>
      </w:rPr>
      <w:t>淮南快选网络科技</w:t>
    </w:r>
    <w:r>
      <w:rPr>
        <w:rFonts w:hint="eastAsia" w:ascii="宋体" w:hAnsi="宋体"/>
      </w:rPr>
      <w:t>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F96E2"/>
    <w:multiLevelType w:val="singleLevel"/>
    <w:tmpl w:val="A03F96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1F64B7"/>
    <w:multiLevelType w:val="singleLevel"/>
    <w:tmpl w:val="E11F64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B03D45"/>
    <w:rsid w:val="05CE4DDF"/>
    <w:rsid w:val="060C2FA8"/>
    <w:rsid w:val="07F36735"/>
    <w:rsid w:val="081967AA"/>
    <w:rsid w:val="0831182C"/>
    <w:rsid w:val="0AA05AC1"/>
    <w:rsid w:val="0CD00B52"/>
    <w:rsid w:val="0CEA151C"/>
    <w:rsid w:val="0F597F95"/>
    <w:rsid w:val="12632AA4"/>
    <w:rsid w:val="132035EF"/>
    <w:rsid w:val="1649279A"/>
    <w:rsid w:val="18843843"/>
    <w:rsid w:val="18E6077C"/>
    <w:rsid w:val="1A4A584E"/>
    <w:rsid w:val="1AF76EE3"/>
    <w:rsid w:val="262E34B0"/>
    <w:rsid w:val="293663A8"/>
    <w:rsid w:val="2AC92B4A"/>
    <w:rsid w:val="2F2E6EF1"/>
    <w:rsid w:val="30D95304"/>
    <w:rsid w:val="31456B92"/>
    <w:rsid w:val="32070288"/>
    <w:rsid w:val="32264321"/>
    <w:rsid w:val="33AB5B84"/>
    <w:rsid w:val="3CF13E06"/>
    <w:rsid w:val="3E097237"/>
    <w:rsid w:val="3F7815C8"/>
    <w:rsid w:val="3F9400F8"/>
    <w:rsid w:val="40213A0E"/>
    <w:rsid w:val="40891780"/>
    <w:rsid w:val="45BC34B0"/>
    <w:rsid w:val="4FBC0F6B"/>
    <w:rsid w:val="530157B8"/>
    <w:rsid w:val="5EB54CA1"/>
    <w:rsid w:val="60C135B4"/>
    <w:rsid w:val="61AD6D5C"/>
    <w:rsid w:val="61E55ED6"/>
    <w:rsid w:val="629D4679"/>
    <w:rsid w:val="64935ACD"/>
    <w:rsid w:val="6618318B"/>
    <w:rsid w:val="682E1D41"/>
    <w:rsid w:val="6B07347F"/>
    <w:rsid w:val="73743879"/>
    <w:rsid w:val="7A3D0A5E"/>
    <w:rsid w:val="7D2D52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2"/>
    <w:qFormat/>
    <w:uiPriority w:val="99"/>
    <w:rPr>
      <w:sz w:val="18"/>
      <w:szCs w:val="18"/>
    </w:rPr>
  </w:style>
  <w:style w:type="character" w:customStyle="1" w:styleId="15">
    <w:name w:val="标题 Char"/>
    <w:basedOn w:val="9"/>
    <w:qFormat/>
    <w:uiPriority w:val="10"/>
    <w:rPr>
      <w:rFonts w:ascii="Cambria" w:hAnsi="Cambria" w:eastAsia="宋体" w:cs="宋体"/>
      <w:b/>
      <w:bCs/>
      <w:sz w:val="32"/>
      <w:szCs w:val="32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标题 字符"/>
    <w:basedOn w:val="9"/>
    <w:link w:val="6"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781</Words>
  <Characters>875</Characters>
  <Paragraphs>45</Paragraphs>
  <TotalTime>7</TotalTime>
  <ScaleCrop>false</ScaleCrop>
  <LinksUpToDate>false</LinksUpToDate>
  <CharactersWithSpaces>895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2019-08-05T01:58:00Z</dcterms:created>
  <dc:creator>Administrator</dc:creator>
  <cp:lastModifiedBy>夏</cp:lastModifiedBy>
  <cp:lastPrinted>2017-10-26T07:00:00Z</cp:lastPrinted>
  <dcterms:modified xsi:type="dcterms:W3CDTF">2021-09-19T06:56:21Z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F72AB11930D44504A8EB08275C5F86D1</vt:lpwstr>
  </property>
</Properties>
</file>